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4F2B" w:rsidRDefault="00B621FB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4422140</wp:posOffset>
                </wp:positionH>
                <wp:positionV relativeFrom="page">
                  <wp:posOffset>552450</wp:posOffset>
                </wp:positionV>
                <wp:extent cx="2816860" cy="652145"/>
                <wp:effectExtent l="0" t="0" r="0" b="0"/>
                <wp:wrapSquare wrapText="bothSides" distT="0" distB="0" distL="114300" distR="114300"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3920" y="3460278"/>
                          <a:ext cx="280416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24F2B" w:rsidRDefault="00B621FB">
                            <w:pPr>
                              <w:spacing w:before="100" w:after="100" w:line="258" w:lineRule="auto"/>
                              <w:ind w:right="-6"/>
                              <w:textDirection w:val="btLr"/>
                            </w:pPr>
                            <w:r>
                              <w:rPr>
                                <w:b/>
                                <w:color w:val="808080"/>
                                <w:sz w:val="16"/>
                              </w:rPr>
                              <w:t>SECRETARÍA DE SALUD DE LA CIUDAD DE MÉXICO</w:t>
                            </w:r>
                          </w:p>
                          <w:p w:rsidR="00624F2B" w:rsidRDefault="00B621FB">
                            <w:pPr>
                              <w:spacing w:before="100" w:after="100" w:line="258" w:lineRule="auto"/>
                              <w:ind w:right="-6"/>
                              <w:textDirection w:val="btLr"/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COORDINACIÓN DE ENLACE Y COMUNICACIÓN</w:t>
                            </w:r>
                          </w:p>
                          <w:p w:rsidR="00624F2B" w:rsidRDefault="00624F2B">
                            <w:pPr>
                              <w:spacing w:before="100" w:after="100" w:line="258" w:lineRule="auto"/>
                              <w:ind w:right="-6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4422140</wp:posOffset>
                </wp:positionH>
                <wp:positionV relativeFrom="page">
                  <wp:posOffset>552450</wp:posOffset>
                </wp:positionV>
                <wp:extent cx="2816860" cy="652145"/>
                <wp:effectExtent b="0" l="0" r="0" t="0"/>
                <wp:wrapSquare wrapText="bothSides" distB="0" distT="0" distL="114300" distR="114300"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6860" cy="652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24F2B" w:rsidRDefault="00624F2B">
      <w:pPr>
        <w:spacing w:after="0" w:line="240" w:lineRule="auto"/>
        <w:rPr>
          <w:color w:val="808080"/>
          <w:sz w:val="20"/>
          <w:szCs w:val="20"/>
        </w:rPr>
      </w:pPr>
    </w:p>
    <w:p w:rsidR="00624F2B" w:rsidRDefault="00B621FB">
      <w:pPr>
        <w:spacing w:after="0" w:line="240" w:lineRule="auto"/>
        <w:ind w:left="1418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Ciudad de México, a 4 de octubre de 2022</w:t>
      </w:r>
    </w:p>
    <w:p w:rsidR="00624F2B" w:rsidRDefault="00624F2B">
      <w:pPr>
        <w:spacing w:after="0" w:line="240" w:lineRule="auto"/>
        <w:rPr>
          <w:rFonts w:ascii="Calibri" w:eastAsia="Calibri" w:hAnsi="Calibri" w:cs="Calibri"/>
          <w:color w:val="808080"/>
          <w:sz w:val="24"/>
          <w:szCs w:val="24"/>
        </w:rPr>
      </w:pPr>
    </w:p>
    <w:p w:rsidR="00624F2B" w:rsidRDefault="00B621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80808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ATIENDE CLÍNICA TRANS DE LA CIUDAD DE MÉXICO A MÁS DE 5 MIL PERSONAS EN UN AÑO</w:t>
      </w:r>
    </w:p>
    <w:p w:rsidR="00624F2B" w:rsidRDefault="00624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24F2B" w:rsidRDefault="00B621F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Del total, 3 mil 224 han sido consultas a personas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trans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y no binarias; y mil 877 fueron atenciones que brindó la Coordinación Comunitaria</w:t>
      </w:r>
    </w:p>
    <w:p w:rsidR="00624F2B" w:rsidRDefault="00B621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“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Esta unidad de salud es un compromiso cumplido de la Jefa de Gobierno, doctora Claudia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Sheinbaum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Pardo con la comuni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dad LGBTTTIQ+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;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es única en su tipo en el país y Latinoamérica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”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: Oliva López Arellano</w:t>
      </w:r>
    </w:p>
    <w:p w:rsidR="00624F2B" w:rsidRDefault="00624F2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24F2B" w:rsidRDefault="00B621F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un año de la inauguración de la Unidad de Salud Integral para Personas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Trans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(USIPT), la secretaria de Salud (SEDESA), doctora Oliva López Arellano, destacó que se ha 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tendido a 5 mil 101 personas de manera gratuita, de las cuales 3 mil 224 han sido consultas a personas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trans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y no binarias; en tanto, mil 877 fueron atenciones que brindó la Coordinación Comunitaria.</w:t>
      </w:r>
    </w:p>
    <w:p w:rsidR="00624F2B" w:rsidRDefault="00624F2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24F2B" w:rsidRDefault="00B621F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“Esta unidad de salud es un compromiso cumplido de la 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efa de Gobierno, doctora Claudia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Sheinbaum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Pardo, con la comunidad LGBTTTIQ+; es única en su tipo en el país y Latinoamérica, pues desde el inicio de esta administración hemos trabajado para hacer de la Ciudad de México una capital Innovadora y de Derechos</w:t>
      </w:r>
      <w:r>
        <w:rPr>
          <w:rFonts w:ascii="Calibri" w:eastAsia="Calibri" w:hAnsi="Calibri" w:cs="Calibri"/>
          <w:color w:val="000000"/>
          <w:sz w:val="24"/>
          <w:szCs w:val="24"/>
        </w:rPr>
        <w:t>”, dijo.</w:t>
      </w:r>
    </w:p>
    <w:p w:rsidR="00624F2B" w:rsidRDefault="00624F2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24F2B" w:rsidRDefault="00B621F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Entre octubre de 2021 y septiembre de 2022, detalló, los servicios más concurridos en la USIPT fueron psicología y psiquiatría (36%), consulta médico general (22%) y endocrinología (11%). Los grupos de edad que más asisten son personas jóvenes de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entre 20 y 29 años (40%), seguido de adolescentes de 15 a 19 años (20%) y, en tercer lugar, personas de entre 30 a 34 años (12%).</w:t>
      </w:r>
    </w:p>
    <w:p w:rsidR="00624F2B" w:rsidRDefault="00624F2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24F2B" w:rsidRDefault="00B621F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Subrayó que se han cumplido cuatro años de construir infraestructura para ofrecer servicios médicos gratuitos, especializado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s, de calidad y atención digna para garantizar el Derecho a la Salud de todas, todos y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todes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sin distinción, con respeto y consideración a las necesidades de cada persona.</w:t>
      </w:r>
    </w:p>
    <w:p w:rsidR="00624F2B" w:rsidRDefault="00624F2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24F2B" w:rsidRDefault="00B621F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“Con esta unidad, contribuimos a garantizar el derecho a la autodeterminación de 16</w:t>
      </w:r>
      <w:r>
        <w:rPr>
          <w:rFonts w:ascii="Calibri" w:eastAsia="Calibri" w:hAnsi="Calibri" w:cs="Calibri"/>
          <w:color w:val="000000"/>
          <w:sz w:val="24"/>
          <w:szCs w:val="24"/>
        </w:rPr>
        <w:t>7 pacientes que han recibido tratamiento hormonal, demostrando una vez más que el Derecho a la Salud forma parte decisiva en el desarrollo de las personas y es la base para muchos otros derechos”, apuntó.</w:t>
      </w:r>
    </w:p>
    <w:p w:rsidR="00624F2B" w:rsidRDefault="00624F2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24F2B" w:rsidRDefault="00624F2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24F2B" w:rsidRDefault="00624F2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24F2B" w:rsidRDefault="00624F2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24F2B" w:rsidRDefault="00B621FB">
      <w:pPr>
        <w:spacing w:before="200" w:after="20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El laboratorio clínico de la Unidad ha brindado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mil 128 atenciones a integrantes de la comunidad, específicamente vinculadas con tratamientos hormonales.</w:t>
      </w:r>
    </w:p>
    <w:p w:rsidR="00624F2B" w:rsidRDefault="00B621FB">
      <w:pPr>
        <w:spacing w:after="20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 Coordinación Comunitaria ha recibido un total de 824 personas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trans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de las cuales 269 son mujeres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trans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220 hombres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trans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82 personas no binarias, 157 padres de familias y 96 adolescentes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trans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624F2B" w:rsidRDefault="00B621FB">
      <w:pPr>
        <w:spacing w:after="20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También se han realizado 12 eventos durante el año sob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 cultura, trabajo y educación con mil 200 asistentes, así como actividades de sensibilización en temas de la población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trans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 350 personas de la UAM, UACM, Hospital Rubén Leñero, entre otras.</w:t>
      </w:r>
    </w:p>
    <w:p w:rsidR="00624F2B" w:rsidRDefault="00B621FB">
      <w:pPr>
        <w:spacing w:before="200" w:after="20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 igual forma se han hecho 230 vinculaciones externas con la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Secretaría de Inclusión y Bienestar Social (SIBISO), Consejo para Prevenir la Discriminación (COPRED), Clínica Especializada Condesa y distintas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ONGs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624F2B" w:rsidRDefault="00B621F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En su oportunidad, el director de la USIPT, doctor Hugo Guillermo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Cornú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Rojas, señaló que en la unidad 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atienden infancias, adolescencias, personas adultas y adultas mayores; además, se han detectado enfermedades como diabetes mellitus, hipertensión arterial sistémica, complicaciones por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modelantes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hipotiroidismo, dermatitis seborreica, alopecia con patró</w:t>
      </w:r>
      <w:r>
        <w:rPr>
          <w:rFonts w:ascii="Calibri" w:eastAsia="Calibri" w:hAnsi="Calibri" w:cs="Calibri"/>
          <w:color w:val="000000"/>
          <w:sz w:val="24"/>
          <w:szCs w:val="24"/>
        </w:rPr>
        <w:t>n androgénico, entre otras.</w:t>
      </w:r>
    </w:p>
    <w:p w:rsidR="00624F2B" w:rsidRDefault="00624F2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24F2B" w:rsidRDefault="00B621F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“Dirigir esta unidad para mí, conlleva una gran responsabilidad. Mi compromiso con la USIPT es aún mayor porque implica garantizar el derecho a la salud de aquellas personas que lo han visto vulnerado en algún momento, de tal f</w:t>
      </w:r>
      <w:r>
        <w:rPr>
          <w:rFonts w:ascii="Calibri" w:eastAsia="Calibri" w:hAnsi="Calibri" w:cs="Calibri"/>
          <w:color w:val="000000"/>
          <w:sz w:val="24"/>
          <w:szCs w:val="24"/>
        </w:rPr>
        <w:t>orma trabajamos días con día a favor de una atención libre de discriminación y con inclusión”, aseguró.</w:t>
      </w:r>
    </w:p>
    <w:p w:rsidR="00624F2B" w:rsidRDefault="00624F2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24F2B" w:rsidRDefault="00B621F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Para finalizar,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Cornú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Rojas destacó la labor de la Coordinadora Comunitaria,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Oyuki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Martínez, con las que se ha impactado en factores sociales que son d</w:t>
      </w:r>
      <w:r>
        <w:rPr>
          <w:rFonts w:ascii="Calibri" w:eastAsia="Calibri" w:hAnsi="Calibri" w:cs="Calibri"/>
          <w:color w:val="000000"/>
          <w:sz w:val="24"/>
          <w:szCs w:val="24"/>
        </w:rPr>
        <w:t>eterminantes en la salud, promoviendo acciones que garantizan que la unidad se vuelva un entorno incluyente a través de sus diversas actividades que permiten que, además, sea un lugar de reunión donde se refuerza la identidad de las personas y su sentido d</w:t>
      </w:r>
      <w:r>
        <w:rPr>
          <w:rFonts w:ascii="Calibri" w:eastAsia="Calibri" w:hAnsi="Calibri" w:cs="Calibri"/>
          <w:color w:val="000000"/>
          <w:sz w:val="24"/>
          <w:szCs w:val="24"/>
        </w:rPr>
        <w:t>e pertenencia.</w:t>
      </w:r>
    </w:p>
    <w:p w:rsidR="00624F2B" w:rsidRDefault="00624F2B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624F2B" w:rsidRDefault="00B621FB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-o0o-</w:t>
      </w:r>
    </w:p>
    <w:sectPr w:rsidR="00624F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183" w:bottom="1417" w:left="1701" w:header="568" w:footer="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621FB">
      <w:pPr>
        <w:spacing w:after="0" w:line="240" w:lineRule="auto"/>
      </w:pPr>
      <w:r>
        <w:separator/>
      </w:r>
    </w:p>
  </w:endnote>
  <w:endnote w:type="continuationSeparator" w:id="0">
    <w:p w:rsidR="00000000" w:rsidRDefault="00B6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4F2B" w:rsidRDefault="00624F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4F2B" w:rsidRDefault="00B621FB">
    <w:pPr>
      <w:tabs>
        <w:tab w:val="center" w:pos="4419"/>
        <w:tab w:val="right" w:pos="8838"/>
      </w:tabs>
      <w:spacing w:after="0" w:line="240" w:lineRule="auto"/>
      <w:ind w:left="-709"/>
      <w:rPr>
        <w:color w:val="808080"/>
      </w:rPr>
    </w:pPr>
    <w:bookmarkStart w:id="0" w:name="_heading=h.gjdgxs" w:colFirst="0" w:colLast="0"/>
    <w:bookmarkEnd w:id="0"/>
    <w:r>
      <w:t xml:space="preserve">           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hidden="0" allowOverlap="1">
              <wp:simplePos x="0" y="0"/>
              <wp:positionH relativeFrom="column">
                <wp:posOffset>-507999</wp:posOffset>
              </wp:positionH>
              <wp:positionV relativeFrom="paragraph">
                <wp:posOffset>-380999</wp:posOffset>
              </wp:positionV>
              <wp:extent cx="3281045" cy="466725"/>
              <wp:effectExtent l="0" t="0" r="0" b="0"/>
              <wp:wrapNone/>
              <wp:docPr id="1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10240" y="3551400"/>
                        <a:ext cx="327152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24F2B" w:rsidRDefault="00B621FB">
                          <w:pPr>
                            <w:spacing w:after="0" w:line="240" w:lineRule="auto"/>
                            <w:ind w:left="-850" w:hanging="990"/>
                            <w:textDirection w:val="btLr"/>
                          </w:pPr>
                          <w:r>
                            <w:rPr>
                              <w:color w:val="808080"/>
                              <w:sz w:val="16"/>
                            </w:rPr>
                            <w:t xml:space="preserve">                             Av. Insurgentes Norte 423, piso 13, Nonoalco Tlatelolco</w:t>
                          </w:r>
                        </w:p>
                        <w:p w:rsidR="00624F2B" w:rsidRDefault="00B621FB">
                          <w:pPr>
                            <w:spacing w:after="0" w:line="240" w:lineRule="auto"/>
                            <w:ind w:left="-850" w:hanging="990"/>
                            <w:textDirection w:val="btLr"/>
                          </w:pPr>
                          <w:r>
                            <w:rPr>
                              <w:color w:val="808080"/>
                              <w:sz w:val="16"/>
                            </w:rPr>
                            <w:t xml:space="preserve">                             Alcaldía Cuauhtémoc, C.P. 06000, Ciudad de México</w:t>
                          </w:r>
                        </w:p>
                        <w:p w:rsidR="00624F2B" w:rsidRDefault="00B621FB">
                          <w:pPr>
                            <w:spacing w:after="0" w:line="240" w:lineRule="auto"/>
                            <w:ind w:left="-850" w:hanging="990"/>
                            <w:textDirection w:val="btLr"/>
                          </w:pPr>
                          <w:r>
                            <w:rPr>
                              <w:color w:val="808080"/>
                              <w:sz w:val="16"/>
                            </w:rPr>
                            <w:t xml:space="preserve">                             T.  5132 1200 EXT. 1004 y 1312</w:t>
                          </w:r>
                        </w:p>
                        <w:p w:rsidR="00624F2B" w:rsidRDefault="00624F2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-380999</wp:posOffset>
              </wp:positionV>
              <wp:extent cx="3281045" cy="466725"/>
              <wp:effectExtent b="0" l="0" r="0" t="0"/>
              <wp:wrapNone/>
              <wp:docPr id="1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104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4619625</wp:posOffset>
          </wp:positionH>
          <wp:positionV relativeFrom="paragraph">
            <wp:posOffset>-200024</wp:posOffset>
          </wp:positionV>
          <wp:extent cx="1419860" cy="226060"/>
          <wp:effectExtent l="0" t="0" r="0" b="0"/>
          <wp:wrapSquare wrapText="bothSides" distT="0" distB="0" distL="114300" distR="114300"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860" cy="226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4F2B" w:rsidRDefault="00624F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621FB">
      <w:pPr>
        <w:spacing w:after="0" w:line="240" w:lineRule="auto"/>
      </w:pPr>
      <w:r>
        <w:separator/>
      </w:r>
    </w:p>
  </w:footnote>
  <w:footnote w:type="continuationSeparator" w:id="0">
    <w:p w:rsidR="00000000" w:rsidRDefault="00B6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4F2B" w:rsidRDefault="00624F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4F2B" w:rsidRDefault="00B621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851"/>
      <w:rPr>
        <w:color w:val="80808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4169409</wp:posOffset>
          </wp:positionH>
          <wp:positionV relativeFrom="margin">
            <wp:posOffset>-27939</wp:posOffset>
          </wp:positionV>
          <wp:extent cx="1687830" cy="802640"/>
          <wp:effectExtent l="0" t="0" r="0" b="0"/>
          <wp:wrapSquare wrapText="bothSides" distT="0" distB="0" distL="114300" distR="114300"/>
          <wp:docPr id="1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7830" cy="802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267402" cy="956789"/>
          <wp:effectExtent l="0" t="0" r="0" 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7402" cy="9567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8080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4F2B" w:rsidRDefault="00624F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743"/>
    <w:multiLevelType w:val="multilevel"/>
    <w:tmpl w:val="FFFFFFFF"/>
    <w:lvl w:ilvl="0">
      <w:start w:val="1"/>
      <w:numFmt w:val="bullet"/>
      <w:lvlText w:val="●"/>
      <w:lvlJc w:val="left"/>
      <w:pPr>
        <w:ind w:left="4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9904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624F2B"/>
    <w:rsid w:val="00B6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2FD613C-38C8-894D-8976-8E930BF2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color w:val="666666"/>
        <w:sz w:val="21"/>
        <w:szCs w:val="21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A06"/>
  </w:style>
  <w:style w:type="paragraph" w:styleId="Ttulo1">
    <w:name w:val="heading 1"/>
    <w:basedOn w:val="Normal"/>
    <w:next w:val="Normal"/>
    <w:uiPriority w:val="9"/>
    <w:qFormat/>
    <w:rsid w:val="000E7B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E7B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7A7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E7B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E7B8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E7B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E7B8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E7B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A7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sz w:val="48"/>
      <w:szCs w:val="48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B35F74"/>
    <w:pPr>
      <w:spacing w:after="0" w:line="240" w:lineRule="auto"/>
    </w:pPr>
    <w:rPr>
      <w:rFonts w:cs="Times New Roman"/>
      <w:b/>
      <w:color w:val="808080" w:themeColor="background1" w:themeShade="8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">
    <w:name w:val="Table Grid"/>
    <w:basedOn w:val="Tablanormal"/>
    <w:uiPriority w:val="39"/>
    <w:rsid w:val="00B3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E66B4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286F6D"/>
    <w:pPr>
      <w:ind w:left="720"/>
      <w:contextualSpacing/>
    </w:pPr>
  </w:style>
  <w:style w:type="paragraph" w:customStyle="1" w:styleId="p1">
    <w:name w:val="p1"/>
    <w:basedOn w:val="Normal"/>
    <w:rsid w:val="002477BE"/>
    <w:pPr>
      <w:spacing w:after="0" w:line="240" w:lineRule="auto"/>
    </w:pPr>
    <w:rPr>
      <w:rFonts w:ascii=".AppleSystemUIFont" w:eastAsiaTheme="minorEastAsia" w:hAnsi=".AppleSystemUIFont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 /><Relationship Id="rId1" Type="http://schemas.openxmlformats.org/officeDocument/2006/relationships/image" Target="media/image4.pn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 /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mHgmXoC/ua649y+3+YBtdesHtA==">AMUW2mVFCtrbunXqp5mv4/AT4Fp2JRCRSHt8+9MLeZc9zPkTH3MkJ/I+K8OJvoVNQynu/R8zxLdidrVheohoK5wPXF3pUiB8buWIp/Hc8pqOI3Ucm0UwtXTyPlh7JU9zaGuGGAxk0UsP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IMAGEN15</dc:creator>
  <cp:lastModifiedBy>Rebeca Altamirano</cp:lastModifiedBy>
  <cp:revision>2</cp:revision>
  <dcterms:created xsi:type="dcterms:W3CDTF">2022-10-04T21:43:00Z</dcterms:created>
  <dcterms:modified xsi:type="dcterms:W3CDTF">2022-10-04T21:43:00Z</dcterms:modified>
</cp:coreProperties>
</file>